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05B1D" w14:textId="070FA2D6" w:rsidR="001A4E11" w:rsidRPr="001A4E11" w:rsidRDefault="001A4E11" w:rsidP="001A4E11">
      <w:pPr>
        <w:pStyle w:val="Heading1"/>
        <w:jc w:val="center"/>
        <w:rPr>
          <w:b/>
          <w:bCs/>
        </w:rPr>
      </w:pPr>
      <w:r w:rsidRPr="001A4E11">
        <w:rPr>
          <w:b/>
          <w:bCs/>
        </w:rPr>
        <w:t>Compliance</w:t>
      </w:r>
    </w:p>
    <w:p w14:paraId="1A8C20DD" w14:textId="77777777" w:rsidR="00DD6A04" w:rsidRPr="00DD6A04" w:rsidRDefault="00DD6A04" w:rsidP="00DD6A04">
      <w:r w:rsidRPr="00DD6A04">
        <w:t>Move closer to meeting regulatory compliance requirements. Assess compliance against multiple frameworks and implement tactical controls from within the platform. Monitor Active Directory (on-prem and Azure) and Microsoft Secure Score, and compare performance against other organizations in the same industry.</w:t>
      </w:r>
    </w:p>
    <w:p w14:paraId="112113EB" w14:textId="3D05DEBC" w:rsidR="001A4E11" w:rsidRDefault="001A4E11" w:rsidP="001A4E11"/>
    <w:p w14:paraId="64A6E845" w14:textId="51884445" w:rsidR="00DD6A04" w:rsidRPr="001A4E11" w:rsidRDefault="00DD6A04" w:rsidP="00DD6A04">
      <w:pPr>
        <w:pStyle w:val="Heading2"/>
        <w:jc w:val="center"/>
        <w:rPr>
          <w:b/>
          <w:bCs/>
        </w:rPr>
      </w:pPr>
      <w:r>
        <w:rPr>
          <w:b/>
          <w:bCs/>
        </w:rPr>
        <w:t>Compliance Assessments</w:t>
      </w:r>
    </w:p>
    <w:p w14:paraId="2CC601DE" w14:textId="123345E6" w:rsidR="00DD6A04" w:rsidRPr="00DD6A04" w:rsidRDefault="00DD6A04" w:rsidP="00DD6A04">
      <w:r w:rsidRPr="00DD6A04">
        <w:t>Track and assess your organization’s compliance with regulatory and best practice frameworks like ISO 27001, PCI DSS, HIPAA, CIS Controls</w:t>
      </w:r>
      <w:r>
        <w:t xml:space="preserve"> and more! </w:t>
      </w:r>
      <w:r w:rsidRPr="00DD6A04">
        <w:t>Complete compliance questionnaires, upload evidence, assign control to other teams and stakeholders, generate assessment reports with compliance scores, gaps, and customizable recommendations.</w:t>
      </w:r>
    </w:p>
    <w:p w14:paraId="047EC35C" w14:textId="090ADCB0" w:rsidR="00DD6A04" w:rsidRDefault="00DD6A04" w:rsidP="00DD6A04">
      <w:pPr>
        <w:jc w:val="center"/>
      </w:pPr>
      <w:r>
        <w:rPr>
          <w:noProof/>
        </w:rPr>
        <w:drawing>
          <wp:inline distT="0" distB="0" distL="0" distR="0" wp14:anchorId="21EE6B3D" wp14:editId="78647625">
            <wp:extent cx="5431399" cy="2590805"/>
            <wp:effectExtent l="0" t="0" r="0" b="0"/>
            <wp:docPr id="243994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1787" cy="2595760"/>
                    </a:xfrm>
                    <a:prstGeom prst="rect">
                      <a:avLst/>
                    </a:prstGeom>
                    <a:noFill/>
                    <a:ln>
                      <a:noFill/>
                    </a:ln>
                  </pic:spPr>
                </pic:pic>
              </a:graphicData>
            </a:graphic>
          </wp:inline>
        </w:drawing>
      </w:r>
    </w:p>
    <w:p w14:paraId="3FA1A6C4" w14:textId="77777777" w:rsidR="00DD6A04" w:rsidRDefault="00DD6A04" w:rsidP="00DD6A04">
      <w:pPr>
        <w:jc w:val="center"/>
      </w:pPr>
    </w:p>
    <w:p w14:paraId="23B1C352" w14:textId="6101A765" w:rsidR="00DD6A04" w:rsidRPr="001A4E11" w:rsidRDefault="00DD6A04" w:rsidP="00DD6A04">
      <w:pPr>
        <w:pStyle w:val="Heading2"/>
        <w:jc w:val="center"/>
        <w:rPr>
          <w:b/>
          <w:bCs/>
        </w:rPr>
      </w:pPr>
      <w:r>
        <w:rPr>
          <w:b/>
          <w:bCs/>
        </w:rPr>
        <w:t>Compliance Frameworks Covered</w:t>
      </w:r>
    </w:p>
    <w:p w14:paraId="7B35D85E" w14:textId="77777777" w:rsidR="00DD6A04" w:rsidRDefault="00DD6A04" w:rsidP="00DD6A04"/>
    <w:p w14:paraId="660EA250" w14:textId="54DDB1C2" w:rsidR="00DD6A04" w:rsidRDefault="00DD6A04" w:rsidP="00DD6A04">
      <w:r>
        <w:t xml:space="preserve">NIST Cybersecurity Framework, CIS Critical Controls, ISO/IEC 27001, NIST 800-171, HIPAA, PCI DSS, Cyber Essentials (UK), Essential Eight (Australia), </w:t>
      </w:r>
      <w:proofErr w:type="spellStart"/>
      <w:r>
        <w:t>CyberSecure</w:t>
      </w:r>
      <w:proofErr w:type="spellEnd"/>
      <w:r>
        <w:t xml:space="preserve"> Canada</w:t>
      </w:r>
    </w:p>
    <w:p w14:paraId="70835A6A" w14:textId="2CA659C3" w:rsidR="00DD6A04" w:rsidRDefault="00DD6A04" w:rsidP="00DD6A04">
      <w:pPr>
        <w:jc w:val="center"/>
      </w:pPr>
      <w:r w:rsidRPr="00DD6A04">
        <w:drawing>
          <wp:inline distT="0" distB="0" distL="0" distR="0" wp14:anchorId="04CE5DA4" wp14:editId="4096C8A9">
            <wp:extent cx="5146922" cy="2010071"/>
            <wp:effectExtent l="0" t="0" r="0" b="9525"/>
            <wp:docPr id="5" name="Picture 4">
              <a:extLst xmlns:a="http://schemas.openxmlformats.org/drawingml/2006/main">
                <a:ext uri="{FF2B5EF4-FFF2-40B4-BE49-F238E27FC236}">
                  <a16:creationId xmlns:a16="http://schemas.microsoft.com/office/drawing/2014/main" id="{BC8059D7-1484-5347-C780-BAB8BE2D22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C8059D7-1484-5347-C780-BAB8BE2D228F}"/>
                        </a:ext>
                      </a:extLst>
                    </pic:cNvPr>
                    <pic:cNvPicPr>
                      <a:picLocks noChangeAspect="1"/>
                    </pic:cNvPicPr>
                  </pic:nvPicPr>
                  <pic:blipFill>
                    <a:blip r:embed="rId6"/>
                    <a:stretch>
                      <a:fillRect/>
                    </a:stretch>
                  </pic:blipFill>
                  <pic:spPr>
                    <a:xfrm>
                      <a:off x="0" y="0"/>
                      <a:ext cx="5165315" cy="2017254"/>
                    </a:xfrm>
                    <a:prstGeom prst="rect">
                      <a:avLst/>
                    </a:prstGeom>
                  </pic:spPr>
                </pic:pic>
              </a:graphicData>
            </a:graphic>
          </wp:inline>
        </w:drawing>
      </w:r>
    </w:p>
    <w:p w14:paraId="1C3124CF" w14:textId="1A01DF2B" w:rsidR="00DD6A04" w:rsidRPr="001A4E11" w:rsidRDefault="00DD6A04" w:rsidP="00DD6A04">
      <w:pPr>
        <w:pStyle w:val="Heading2"/>
        <w:jc w:val="center"/>
        <w:rPr>
          <w:b/>
          <w:bCs/>
        </w:rPr>
      </w:pPr>
      <w:r>
        <w:rPr>
          <w:b/>
          <w:bCs/>
        </w:rPr>
        <w:lastRenderedPageBreak/>
        <w:t>Microsoft Copilot Readiness Assessment</w:t>
      </w:r>
    </w:p>
    <w:p w14:paraId="663CAC76" w14:textId="77777777" w:rsidR="00DD6A04" w:rsidRPr="00DD6A04" w:rsidRDefault="00DD6A04" w:rsidP="00DD6A04">
      <w:r w:rsidRPr="00DD6A04">
        <w:t>Ensure that your sensitive data remains secure as you leverage the transformational capabilities of Microsoft Copilot.</w:t>
      </w:r>
    </w:p>
    <w:p w14:paraId="2DE06176" w14:textId="279F3321" w:rsidR="00DD6A04" w:rsidRPr="00DD6A04" w:rsidRDefault="00DD6A04" w:rsidP="00DD6A04">
      <w:r w:rsidRPr="00DD6A04">
        <w:t>Our Microsoft Copilot Readiness Assessment builds on the Microsoft 365 Data Scanning capability, and enables you to examine your organization’s Copilot readiness under four categories:</w:t>
      </w:r>
      <w:r>
        <w:t xml:space="preserve"> </w:t>
      </w:r>
      <w:r w:rsidRPr="00DD6A04">
        <w:t>User Information</w:t>
      </w:r>
      <w:r>
        <w:t xml:space="preserve">; </w:t>
      </w:r>
      <w:r w:rsidRPr="00DD6A04">
        <w:t>Organizational Profile</w:t>
      </w:r>
      <w:r>
        <w:t xml:space="preserve">; </w:t>
      </w:r>
      <w:r w:rsidRPr="00DD6A04">
        <w:t>Productivity Tools</w:t>
      </w:r>
      <w:r>
        <w:t xml:space="preserve"> and </w:t>
      </w:r>
      <w:r w:rsidRPr="00DD6A04">
        <w:t>Data Security</w:t>
      </w:r>
    </w:p>
    <w:p w14:paraId="621A26F1" w14:textId="2749C2BC" w:rsidR="00DD6A04" w:rsidRPr="00DD6A04" w:rsidRDefault="00B648B1" w:rsidP="00DD6A04">
      <w:pPr>
        <w:jc w:val="center"/>
      </w:pPr>
      <w:r>
        <w:rPr>
          <w:noProof/>
        </w:rPr>
        <w:drawing>
          <wp:inline distT="0" distB="0" distL="0" distR="0" wp14:anchorId="170433C5" wp14:editId="0A60A018">
            <wp:extent cx="2518706" cy="2990609"/>
            <wp:effectExtent l="0" t="0" r="0" b="635"/>
            <wp:docPr id="530691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1885" cy="3018131"/>
                    </a:xfrm>
                    <a:prstGeom prst="rect">
                      <a:avLst/>
                    </a:prstGeom>
                    <a:noFill/>
                    <a:ln>
                      <a:noFill/>
                    </a:ln>
                  </pic:spPr>
                </pic:pic>
              </a:graphicData>
            </a:graphic>
          </wp:inline>
        </w:drawing>
      </w:r>
    </w:p>
    <w:p w14:paraId="1DB8CE91" w14:textId="77777777" w:rsidR="00DD6A04" w:rsidRDefault="00DD6A04" w:rsidP="00DD6A04">
      <w:pPr>
        <w:jc w:val="center"/>
      </w:pPr>
    </w:p>
    <w:p w14:paraId="4BA66413" w14:textId="0256195E" w:rsidR="001A4E11" w:rsidRPr="001A4E11" w:rsidRDefault="001A4E11" w:rsidP="001A4E11">
      <w:pPr>
        <w:pStyle w:val="Heading2"/>
        <w:jc w:val="center"/>
        <w:rPr>
          <w:b/>
          <w:bCs/>
        </w:rPr>
      </w:pPr>
      <w:r w:rsidRPr="001A4E11">
        <w:rPr>
          <w:b/>
          <w:bCs/>
        </w:rPr>
        <w:t>Active Directory Monitoring</w:t>
      </w:r>
      <w:r w:rsidR="00A54213">
        <w:rPr>
          <w:b/>
          <w:bCs/>
        </w:rPr>
        <w:t xml:space="preserve"> (On-prem and Azure)</w:t>
      </w:r>
    </w:p>
    <w:p w14:paraId="26B49AD0" w14:textId="77777777" w:rsidR="00A54213" w:rsidRPr="00A54213" w:rsidRDefault="00A54213" w:rsidP="00A54213">
      <w:r w:rsidRPr="00A54213">
        <w:t xml:space="preserve">Easily monitor Active Directory (both on-prem and AD Azure) by adding an agent. View active accounts vs disabled accounts, information about users, devices and groups in domain, and users’ activity and password security status. Monitor any changes and do a basic clean-up. </w:t>
      </w:r>
    </w:p>
    <w:p w14:paraId="79A3F287" w14:textId="77777777" w:rsidR="00A54213" w:rsidRPr="00A54213" w:rsidRDefault="00A54213" w:rsidP="00A54213">
      <w:r w:rsidRPr="00A54213">
        <w:t>With this information at hand, you can keep your Azure AD environment aligned with any governance, risk management, and compliance (GRC) requirements.</w:t>
      </w:r>
    </w:p>
    <w:p w14:paraId="2108D2EF" w14:textId="77777777" w:rsidR="001A4E11" w:rsidRPr="001A4E11" w:rsidRDefault="001A4E11" w:rsidP="001A4E11"/>
    <w:p w14:paraId="1CD61B6D" w14:textId="22B64AC3" w:rsidR="001A4E11" w:rsidRDefault="00A54213" w:rsidP="001A4E11">
      <w:pPr>
        <w:jc w:val="center"/>
      </w:pPr>
      <w:r>
        <w:rPr>
          <w:noProof/>
        </w:rPr>
        <w:drawing>
          <wp:inline distT="0" distB="0" distL="0" distR="0" wp14:anchorId="05C7D389" wp14:editId="012BDA41">
            <wp:extent cx="5201677" cy="2463679"/>
            <wp:effectExtent l="0" t="0" r="0" b="0"/>
            <wp:docPr id="712188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3239" cy="2469155"/>
                    </a:xfrm>
                    <a:prstGeom prst="rect">
                      <a:avLst/>
                    </a:prstGeom>
                    <a:noFill/>
                    <a:ln>
                      <a:noFill/>
                    </a:ln>
                  </pic:spPr>
                </pic:pic>
              </a:graphicData>
            </a:graphic>
          </wp:inline>
        </w:drawing>
      </w:r>
    </w:p>
    <w:p w14:paraId="53D94885" w14:textId="77777777" w:rsidR="001A4E11" w:rsidRPr="001A4E11" w:rsidRDefault="001A4E11" w:rsidP="00B648B1"/>
    <w:p w14:paraId="4A700B95" w14:textId="63B49C02" w:rsidR="001A4E11" w:rsidRPr="001A4E11" w:rsidRDefault="001A4E11" w:rsidP="001A4E11">
      <w:pPr>
        <w:pStyle w:val="Heading2"/>
        <w:jc w:val="center"/>
        <w:rPr>
          <w:b/>
          <w:bCs/>
        </w:rPr>
      </w:pPr>
      <w:r w:rsidRPr="001A4E11">
        <w:rPr>
          <w:b/>
          <w:bCs/>
        </w:rPr>
        <w:t>Microsoft Secure Score Dashboard</w:t>
      </w:r>
    </w:p>
    <w:p w14:paraId="55099C48" w14:textId="77777777" w:rsidR="00A54213" w:rsidRPr="00A54213" w:rsidRDefault="00A54213" w:rsidP="00A54213">
      <w:pPr>
        <w:rPr>
          <w:rFonts w:cstheme="minorHAnsi"/>
        </w:rPr>
      </w:pPr>
      <w:r w:rsidRPr="00A54213">
        <w:rPr>
          <w:rFonts w:cstheme="minorHAnsi"/>
        </w:rPr>
        <w:t>Get help with implementing security settings within Microsoft Cloud to reduce the risk of data leakage and compromised accounts. Implement cyber security best practices to meet compliance requirements.</w:t>
      </w:r>
    </w:p>
    <w:p w14:paraId="6CBD6353" w14:textId="77777777" w:rsidR="00A54213" w:rsidRPr="00A54213" w:rsidRDefault="00A54213" w:rsidP="00A54213">
      <w:pPr>
        <w:rPr>
          <w:rFonts w:cstheme="minorHAnsi"/>
        </w:rPr>
      </w:pPr>
      <w:r w:rsidRPr="00A54213">
        <w:rPr>
          <w:rFonts w:cstheme="minorHAnsi"/>
        </w:rPr>
        <w:t>The Microsoft Secure Score Dashboard provides you with trends and metrics, along with the items that you must complete in order to increase the security posture of your Microsoft Cloud environment (Azure, Microsoft 365, etc).</w:t>
      </w:r>
    </w:p>
    <w:p w14:paraId="23D8D7A0" w14:textId="271138DD" w:rsidR="001A4E11" w:rsidRDefault="00A54213" w:rsidP="001A4E11">
      <w:pPr>
        <w:jc w:val="center"/>
      </w:pPr>
      <w:r>
        <w:rPr>
          <w:noProof/>
        </w:rPr>
        <w:drawing>
          <wp:inline distT="0" distB="0" distL="0" distR="0" wp14:anchorId="69B3AFFF" wp14:editId="5215E8AA">
            <wp:extent cx="5731510" cy="2134235"/>
            <wp:effectExtent l="0" t="0" r="2540" b="0"/>
            <wp:docPr id="2139853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134235"/>
                    </a:xfrm>
                    <a:prstGeom prst="rect">
                      <a:avLst/>
                    </a:prstGeom>
                    <a:noFill/>
                    <a:ln>
                      <a:noFill/>
                    </a:ln>
                  </pic:spPr>
                </pic:pic>
              </a:graphicData>
            </a:graphic>
          </wp:inline>
        </w:drawing>
      </w:r>
    </w:p>
    <w:p w14:paraId="1552BA88" w14:textId="77777777" w:rsidR="001A4E11" w:rsidRPr="001A4E11" w:rsidRDefault="001A4E11" w:rsidP="001A4E11">
      <w:r w:rsidRPr="001A4E11">
        <w:t>The Microsoft Secure Score Dashboard provides you trends and metrics, along with the items that you must complete in order to increase the security posture of your Microsoft Cloud environment (Azure, Microsoft 365, etc).</w:t>
      </w:r>
    </w:p>
    <w:p w14:paraId="0073AA46" w14:textId="22D1D27E" w:rsidR="001A4E11" w:rsidRDefault="001A4E11" w:rsidP="001A4E11">
      <w:pPr>
        <w:jc w:val="center"/>
      </w:pPr>
    </w:p>
    <w:p w14:paraId="766D13B1" w14:textId="38816626" w:rsidR="001A4E11" w:rsidRPr="00D26ABF" w:rsidRDefault="001A4E11" w:rsidP="00D26ABF">
      <w:pPr>
        <w:pStyle w:val="Heading2"/>
        <w:jc w:val="center"/>
        <w:rPr>
          <w:b/>
          <w:bCs/>
        </w:rPr>
      </w:pPr>
      <w:r w:rsidRPr="001A4E11">
        <w:rPr>
          <w:b/>
          <w:bCs/>
        </w:rPr>
        <w:t>Microsoft Secure Score – Recommended Actions</w:t>
      </w:r>
    </w:p>
    <w:p w14:paraId="6EA7F513" w14:textId="1F92F139" w:rsidR="001A4E11" w:rsidRPr="001A4E11" w:rsidRDefault="001A4E11" w:rsidP="001A4E11">
      <w:r w:rsidRPr="001A4E11">
        <w:t>View recommended actions ranked by priority of what you should implement first within your Microsoft Cloud environment</w:t>
      </w:r>
      <w:r>
        <w:t xml:space="preserve"> to strengthen security</w:t>
      </w:r>
    </w:p>
    <w:p w14:paraId="486F7C83" w14:textId="5B7CCEFB" w:rsidR="00D26ABF" w:rsidRDefault="00A54213" w:rsidP="00D26ABF">
      <w:pPr>
        <w:jc w:val="center"/>
      </w:pPr>
      <w:r>
        <w:rPr>
          <w:noProof/>
        </w:rPr>
        <w:drawing>
          <wp:inline distT="0" distB="0" distL="0" distR="0" wp14:anchorId="2A818C3A" wp14:editId="63A61511">
            <wp:extent cx="5731510" cy="2520950"/>
            <wp:effectExtent l="0" t="0" r="2540" b="0"/>
            <wp:docPr id="1247908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520950"/>
                    </a:xfrm>
                    <a:prstGeom prst="rect">
                      <a:avLst/>
                    </a:prstGeom>
                    <a:noFill/>
                    <a:ln>
                      <a:noFill/>
                    </a:ln>
                  </pic:spPr>
                </pic:pic>
              </a:graphicData>
            </a:graphic>
          </wp:inline>
        </w:drawing>
      </w:r>
    </w:p>
    <w:p w14:paraId="38433D30" w14:textId="77777777" w:rsidR="00A54213" w:rsidRDefault="00A54213" w:rsidP="00D26ABF">
      <w:pPr>
        <w:jc w:val="center"/>
      </w:pPr>
    </w:p>
    <w:p w14:paraId="4CD68EF4" w14:textId="77777777" w:rsidR="00B648B1" w:rsidRDefault="00B648B1" w:rsidP="00D26ABF">
      <w:pPr>
        <w:jc w:val="center"/>
      </w:pPr>
    </w:p>
    <w:p w14:paraId="3928A65E" w14:textId="1A2F01F7" w:rsidR="00B648B1" w:rsidRPr="00D26ABF" w:rsidRDefault="00B648B1" w:rsidP="00B648B1">
      <w:pPr>
        <w:pStyle w:val="Heading2"/>
        <w:jc w:val="center"/>
        <w:rPr>
          <w:b/>
          <w:bCs/>
        </w:rPr>
      </w:pPr>
      <w:r>
        <w:rPr>
          <w:b/>
          <w:bCs/>
        </w:rPr>
        <w:lastRenderedPageBreak/>
        <w:t>Industry Comparison</w:t>
      </w:r>
    </w:p>
    <w:p w14:paraId="0BD046FE" w14:textId="77777777" w:rsidR="00B648B1" w:rsidRPr="00B648B1" w:rsidRDefault="00B648B1" w:rsidP="00B648B1">
      <w:r w:rsidRPr="00B648B1">
        <w:t>Use the Industry Comparison Dashboard for insights into your organization’s risk scores relative to others in the same industry. Set the industry type for your instance, and see your scores benchmarked against comparable organizations. This dashboard enables you to understand your position on various risk metrics and to take action where needed.</w:t>
      </w:r>
    </w:p>
    <w:p w14:paraId="7DE0EE73" w14:textId="77777777" w:rsidR="00B648B1" w:rsidRDefault="00B648B1" w:rsidP="00D26ABF">
      <w:pPr>
        <w:jc w:val="center"/>
      </w:pPr>
    </w:p>
    <w:p w14:paraId="503FB733" w14:textId="1044AF8A" w:rsidR="00B648B1" w:rsidRDefault="00B648B1" w:rsidP="00D26ABF">
      <w:pPr>
        <w:jc w:val="center"/>
      </w:pPr>
      <w:r>
        <w:rPr>
          <w:noProof/>
        </w:rPr>
        <w:drawing>
          <wp:inline distT="0" distB="0" distL="0" distR="0" wp14:anchorId="691764CB" wp14:editId="609CF9E6">
            <wp:extent cx="5376891" cy="2830162"/>
            <wp:effectExtent l="0" t="0" r="0" b="8890"/>
            <wp:docPr id="19098747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3130" cy="2833446"/>
                    </a:xfrm>
                    <a:prstGeom prst="rect">
                      <a:avLst/>
                    </a:prstGeom>
                    <a:noFill/>
                    <a:ln>
                      <a:noFill/>
                    </a:ln>
                  </pic:spPr>
                </pic:pic>
              </a:graphicData>
            </a:graphic>
          </wp:inline>
        </w:drawing>
      </w:r>
    </w:p>
    <w:sectPr w:rsidR="00B64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E5A39"/>
    <w:multiLevelType w:val="hybridMultilevel"/>
    <w:tmpl w:val="EEDAA152"/>
    <w:lvl w:ilvl="0" w:tplc="574EBCC8">
      <w:start w:val="1"/>
      <w:numFmt w:val="bullet"/>
      <w:lvlText w:val="•"/>
      <w:lvlJc w:val="left"/>
      <w:pPr>
        <w:tabs>
          <w:tab w:val="num" w:pos="720"/>
        </w:tabs>
        <w:ind w:left="720" w:hanging="360"/>
      </w:pPr>
      <w:rPr>
        <w:rFonts w:ascii="Arial" w:hAnsi="Arial" w:hint="default"/>
      </w:rPr>
    </w:lvl>
    <w:lvl w:ilvl="1" w:tplc="BABC7212" w:tentative="1">
      <w:start w:val="1"/>
      <w:numFmt w:val="bullet"/>
      <w:lvlText w:val="•"/>
      <w:lvlJc w:val="left"/>
      <w:pPr>
        <w:tabs>
          <w:tab w:val="num" w:pos="1440"/>
        </w:tabs>
        <w:ind w:left="1440" w:hanging="360"/>
      </w:pPr>
      <w:rPr>
        <w:rFonts w:ascii="Arial" w:hAnsi="Arial" w:hint="default"/>
      </w:rPr>
    </w:lvl>
    <w:lvl w:ilvl="2" w:tplc="94A0258A" w:tentative="1">
      <w:start w:val="1"/>
      <w:numFmt w:val="bullet"/>
      <w:lvlText w:val="•"/>
      <w:lvlJc w:val="left"/>
      <w:pPr>
        <w:tabs>
          <w:tab w:val="num" w:pos="2160"/>
        </w:tabs>
        <w:ind w:left="2160" w:hanging="360"/>
      </w:pPr>
      <w:rPr>
        <w:rFonts w:ascii="Arial" w:hAnsi="Arial" w:hint="default"/>
      </w:rPr>
    </w:lvl>
    <w:lvl w:ilvl="3" w:tplc="8E8AEAB6" w:tentative="1">
      <w:start w:val="1"/>
      <w:numFmt w:val="bullet"/>
      <w:lvlText w:val="•"/>
      <w:lvlJc w:val="left"/>
      <w:pPr>
        <w:tabs>
          <w:tab w:val="num" w:pos="2880"/>
        </w:tabs>
        <w:ind w:left="2880" w:hanging="360"/>
      </w:pPr>
      <w:rPr>
        <w:rFonts w:ascii="Arial" w:hAnsi="Arial" w:hint="default"/>
      </w:rPr>
    </w:lvl>
    <w:lvl w:ilvl="4" w:tplc="FD520054" w:tentative="1">
      <w:start w:val="1"/>
      <w:numFmt w:val="bullet"/>
      <w:lvlText w:val="•"/>
      <w:lvlJc w:val="left"/>
      <w:pPr>
        <w:tabs>
          <w:tab w:val="num" w:pos="3600"/>
        </w:tabs>
        <w:ind w:left="3600" w:hanging="360"/>
      </w:pPr>
      <w:rPr>
        <w:rFonts w:ascii="Arial" w:hAnsi="Arial" w:hint="default"/>
      </w:rPr>
    </w:lvl>
    <w:lvl w:ilvl="5" w:tplc="F21A5824" w:tentative="1">
      <w:start w:val="1"/>
      <w:numFmt w:val="bullet"/>
      <w:lvlText w:val="•"/>
      <w:lvlJc w:val="left"/>
      <w:pPr>
        <w:tabs>
          <w:tab w:val="num" w:pos="4320"/>
        </w:tabs>
        <w:ind w:left="4320" w:hanging="360"/>
      </w:pPr>
      <w:rPr>
        <w:rFonts w:ascii="Arial" w:hAnsi="Arial" w:hint="default"/>
      </w:rPr>
    </w:lvl>
    <w:lvl w:ilvl="6" w:tplc="DA78ADF0" w:tentative="1">
      <w:start w:val="1"/>
      <w:numFmt w:val="bullet"/>
      <w:lvlText w:val="•"/>
      <w:lvlJc w:val="left"/>
      <w:pPr>
        <w:tabs>
          <w:tab w:val="num" w:pos="5040"/>
        </w:tabs>
        <w:ind w:left="5040" w:hanging="360"/>
      </w:pPr>
      <w:rPr>
        <w:rFonts w:ascii="Arial" w:hAnsi="Arial" w:hint="default"/>
      </w:rPr>
    </w:lvl>
    <w:lvl w:ilvl="7" w:tplc="783E554C" w:tentative="1">
      <w:start w:val="1"/>
      <w:numFmt w:val="bullet"/>
      <w:lvlText w:val="•"/>
      <w:lvlJc w:val="left"/>
      <w:pPr>
        <w:tabs>
          <w:tab w:val="num" w:pos="5760"/>
        </w:tabs>
        <w:ind w:left="5760" w:hanging="360"/>
      </w:pPr>
      <w:rPr>
        <w:rFonts w:ascii="Arial" w:hAnsi="Arial" w:hint="default"/>
      </w:rPr>
    </w:lvl>
    <w:lvl w:ilvl="8" w:tplc="BE3CB7A6" w:tentative="1">
      <w:start w:val="1"/>
      <w:numFmt w:val="bullet"/>
      <w:lvlText w:val="•"/>
      <w:lvlJc w:val="left"/>
      <w:pPr>
        <w:tabs>
          <w:tab w:val="num" w:pos="6480"/>
        </w:tabs>
        <w:ind w:left="6480" w:hanging="360"/>
      </w:pPr>
      <w:rPr>
        <w:rFonts w:ascii="Arial" w:hAnsi="Arial" w:hint="default"/>
      </w:rPr>
    </w:lvl>
  </w:abstractNum>
  <w:num w:numId="1" w16cid:durableId="170655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11"/>
    <w:rsid w:val="00107D62"/>
    <w:rsid w:val="001A4E11"/>
    <w:rsid w:val="002E2B9A"/>
    <w:rsid w:val="00313892"/>
    <w:rsid w:val="00330293"/>
    <w:rsid w:val="0050734F"/>
    <w:rsid w:val="007D12EE"/>
    <w:rsid w:val="00947875"/>
    <w:rsid w:val="00A54213"/>
    <w:rsid w:val="00B648B1"/>
    <w:rsid w:val="00D26ABF"/>
    <w:rsid w:val="00DD6A04"/>
    <w:rsid w:val="00EE7C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78E2"/>
  <w15:chartTrackingRefBased/>
  <w15:docId w15:val="{368ED40D-0B32-4699-8A78-43B709E1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13"/>
  </w:style>
  <w:style w:type="paragraph" w:styleId="Heading1">
    <w:name w:val="heading 1"/>
    <w:basedOn w:val="Normal"/>
    <w:next w:val="Normal"/>
    <w:link w:val="Heading1Char"/>
    <w:uiPriority w:val="9"/>
    <w:qFormat/>
    <w:rsid w:val="001A4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E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E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E1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D6A04"/>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02540">
      <w:bodyDiv w:val="1"/>
      <w:marLeft w:val="0"/>
      <w:marRight w:val="0"/>
      <w:marTop w:val="0"/>
      <w:marBottom w:val="0"/>
      <w:divBdr>
        <w:top w:val="none" w:sz="0" w:space="0" w:color="auto"/>
        <w:left w:val="none" w:sz="0" w:space="0" w:color="auto"/>
        <w:bottom w:val="none" w:sz="0" w:space="0" w:color="auto"/>
        <w:right w:val="none" w:sz="0" w:space="0" w:color="auto"/>
      </w:divBdr>
    </w:div>
    <w:div w:id="586041057">
      <w:bodyDiv w:val="1"/>
      <w:marLeft w:val="0"/>
      <w:marRight w:val="0"/>
      <w:marTop w:val="0"/>
      <w:marBottom w:val="0"/>
      <w:divBdr>
        <w:top w:val="none" w:sz="0" w:space="0" w:color="auto"/>
        <w:left w:val="none" w:sz="0" w:space="0" w:color="auto"/>
        <w:bottom w:val="none" w:sz="0" w:space="0" w:color="auto"/>
        <w:right w:val="none" w:sz="0" w:space="0" w:color="auto"/>
      </w:divBdr>
      <w:divsChild>
        <w:div w:id="86926921">
          <w:marLeft w:val="446"/>
          <w:marRight w:val="0"/>
          <w:marTop w:val="0"/>
          <w:marBottom w:val="0"/>
          <w:divBdr>
            <w:top w:val="none" w:sz="0" w:space="0" w:color="auto"/>
            <w:left w:val="none" w:sz="0" w:space="0" w:color="auto"/>
            <w:bottom w:val="none" w:sz="0" w:space="0" w:color="auto"/>
            <w:right w:val="none" w:sz="0" w:space="0" w:color="auto"/>
          </w:divBdr>
        </w:div>
        <w:div w:id="1300066300">
          <w:marLeft w:val="446"/>
          <w:marRight w:val="0"/>
          <w:marTop w:val="0"/>
          <w:marBottom w:val="0"/>
          <w:divBdr>
            <w:top w:val="none" w:sz="0" w:space="0" w:color="auto"/>
            <w:left w:val="none" w:sz="0" w:space="0" w:color="auto"/>
            <w:bottom w:val="none" w:sz="0" w:space="0" w:color="auto"/>
            <w:right w:val="none" w:sz="0" w:space="0" w:color="auto"/>
          </w:divBdr>
        </w:div>
        <w:div w:id="540440518">
          <w:marLeft w:val="446"/>
          <w:marRight w:val="0"/>
          <w:marTop w:val="0"/>
          <w:marBottom w:val="0"/>
          <w:divBdr>
            <w:top w:val="none" w:sz="0" w:space="0" w:color="auto"/>
            <w:left w:val="none" w:sz="0" w:space="0" w:color="auto"/>
            <w:bottom w:val="none" w:sz="0" w:space="0" w:color="auto"/>
            <w:right w:val="none" w:sz="0" w:space="0" w:color="auto"/>
          </w:divBdr>
        </w:div>
        <w:div w:id="2040354356">
          <w:marLeft w:val="446"/>
          <w:marRight w:val="0"/>
          <w:marTop w:val="0"/>
          <w:marBottom w:val="0"/>
          <w:divBdr>
            <w:top w:val="none" w:sz="0" w:space="0" w:color="auto"/>
            <w:left w:val="none" w:sz="0" w:space="0" w:color="auto"/>
            <w:bottom w:val="none" w:sz="0" w:space="0" w:color="auto"/>
            <w:right w:val="none" w:sz="0" w:space="0" w:color="auto"/>
          </w:divBdr>
        </w:div>
      </w:divsChild>
    </w:div>
    <w:div w:id="777871389">
      <w:bodyDiv w:val="1"/>
      <w:marLeft w:val="0"/>
      <w:marRight w:val="0"/>
      <w:marTop w:val="0"/>
      <w:marBottom w:val="0"/>
      <w:divBdr>
        <w:top w:val="none" w:sz="0" w:space="0" w:color="auto"/>
        <w:left w:val="none" w:sz="0" w:space="0" w:color="auto"/>
        <w:bottom w:val="none" w:sz="0" w:space="0" w:color="auto"/>
        <w:right w:val="none" w:sz="0" w:space="0" w:color="auto"/>
      </w:divBdr>
    </w:div>
    <w:div w:id="1033531890">
      <w:bodyDiv w:val="1"/>
      <w:marLeft w:val="0"/>
      <w:marRight w:val="0"/>
      <w:marTop w:val="0"/>
      <w:marBottom w:val="0"/>
      <w:divBdr>
        <w:top w:val="none" w:sz="0" w:space="0" w:color="auto"/>
        <w:left w:val="none" w:sz="0" w:space="0" w:color="auto"/>
        <w:bottom w:val="none" w:sz="0" w:space="0" w:color="auto"/>
        <w:right w:val="none" w:sz="0" w:space="0" w:color="auto"/>
      </w:divBdr>
    </w:div>
    <w:div w:id="1372533503">
      <w:bodyDiv w:val="1"/>
      <w:marLeft w:val="0"/>
      <w:marRight w:val="0"/>
      <w:marTop w:val="0"/>
      <w:marBottom w:val="0"/>
      <w:divBdr>
        <w:top w:val="none" w:sz="0" w:space="0" w:color="auto"/>
        <w:left w:val="none" w:sz="0" w:space="0" w:color="auto"/>
        <w:bottom w:val="none" w:sz="0" w:space="0" w:color="auto"/>
        <w:right w:val="none" w:sz="0" w:space="0" w:color="auto"/>
      </w:divBdr>
    </w:div>
    <w:div w:id="1489519782">
      <w:bodyDiv w:val="1"/>
      <w:marLeft w:val="0"/>
      <w:marRight w:val="0"/>
      <w:marTop w:val="0"/>
      <w:marBottom w:val="0"/>
      <w:divBdr>
        <w:top w:val="none" w:sz="0" w:space="0" w:color="auto"/>
        <w:left w:val="none" w:sz="0" w:space="0" w:color="auto"/>
        <w:bottom w:val="none" w:sz="0" w:space="0" w:color="auto"/>
        <w:right w:val="none" w:sz="0" w:space="0" w:color="auto"/>
      </w:divBdr>
    </w:div>
    <w:div w:id="1514799687">
      <w:bodyDiv w:val="1"/>
      <w:marLeft w:val="0"/>
      <w:marRight w:val="0"/>
      <w:marTop w:val="0"/>
      <w:marBottom w:val="0"/>
      <w:divBdr>
        <w:top w:val="none" w:sz="0" w:space="0" w:color="auto"/>
        <w:left w:val="none" w:sz="0" w:space="0" w:color="auto"/>
        <w:bottom w:val="none" w:sz="0" w:space="0" w:color="auto"/>
        <w:right w:val="none" w:sz="0" w:space="0" w:color="auto"/>
      </w:divBdr>
    </w:div>
    <w:div w:id="1567372383">
      <w:bodyDiv w:val="1"/>
      <w:marLeft w:val="0"/>
      <w:marRight w:val="0"/>
      <w:marTop w:val="0"/>
      <w:marBottom w:val="0"/>
      <w:divBdr>
        <w:top w:val="none" w:sz="0" w:space="0" w:color="auto"/>
        <w:left w:val="none" w:sz="0" w:space="0" w:color="auto"/>
        <w:bottom w:val="none" w:sz="0" w:space="0" w:color="auto"/>
        <w:right w:val="none" w:sz="0" w:space="0" w:color="auto"/>
      </w:divBdr>
    </w:div>
    <w:div w:id="1837845659">
      <w:bodyDiv w:val="1"/>
      <w:marLeft w:val="0"/>
      <w:marRight w:val="0"/>
      <w:marTop w:val="0"/>
      <w:marBottom w:val="0"/>
      <w:divBdr>
        <w:top w:val="none" w:sz="0" w:space="0" w:color="auto"/>
        <w:left w:val="none" w:sz="0" w:space="0" w:color="auto"/>
        <w:bottom w:val="none" w:sz="0" w:space="0" w:color="auto"/>
        <w:right w:val="none" w:sz="0" w:space="0" w:color="auto"/>
      </w:divBdr>
    </w:div>
    <w:div w:id="1862746327">
      <w:bodyDiv w:val="1"/>
      <w:marLeft w:val="0"/>
      <w:marRight w:val="0"/>
      <w:marTop w:val="0"/>
      <w:marBottom w:val="0"/>
      <w:divBdr>
        <w:top w:val="none" w:sz="0" w:space="0" w:color="auto"/>
        <w:left w:val="none" w:sz="0" w:space="0" w:color="auto"/>
        <w:bottom w:val="none" w:sz="0" w:space="0" w:color="auto"/>
        <w:right w:val="none" w:sz="0" w:space="0" w:color="auto"/>
      </w:divBdr>
    </w:div>
    <w:div w:id="18981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Shadangi</dc:creator>
  <cp:keywords/>
  <dc:description/>
  <cp:lastModifiedBy>Sandhya Shadangi</cp:lastModifiedBy>
  <cp:revision>2</cp:revision>
  <dcterms:created xsi:type="dcterms:W3CDTF">2024-12-16T08:42:00Z</dcterms:created>
  <dcterms:modified xsi:type="dcterms:W3CDTF">2024-12-16T08:42:00Z</dcterms:modified>
</cp:coreProperties>
</file>